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A8872" w14:textId="77777777" w:rsidR="006B1B5C" w:rsidRDefault="00142CF3">
      <w:pPr>
        <w:pStyle w:val="BodyText"/>
        <w:rPr>
          <w:rFonts w:ascii="Times New Roman"/>
          <w:sz w:val="20"/>
        </w:rPr>
      </w:pPr>
      <w:r>
        <w:pict w14:anchorId="67F3209D">
          <v:group id="_x0000_s1026" style="position:absolute;margin-left:0;margin-top:0;width:1187.25pt;height:273.65pt;z-index:-251658240;mso-position-horizontal-relative:page;mso-position-vertical-relative:page" coordsize="23745,54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15;width:23745;height:5400">
              <v:imagedata r:id="rId5" o:title=""/>
            </v:shape>
            <v:shape id="_x0000_s1028" type="#_x0000_t75" style="position:absolute;width:23745;height:5473">
              <v:imagedata r:id="rId6" o:title=""/>
            </v:shape>
            <v:shape id="_x0000_s1027" style="position:absolute;left:15873;top:965;width:6530;height:1134" coordorigin="15873,965" coordsize="6530,1134" o:spt="100" adj="0,,0" path="m16316,1662r-379,l15888,1747r-4,11l15883,1763r374,l16316,1662xm16382,1548r-378,l15945,1649r379,l16382,1548xm16422,2006r-490,l15942,2018r6,6l15982,2052r37,22l16059,2089r41,9l16107,2098r315,l16422,2006xm16422,1892r-544,l15885,1918r9,26l15907,1969r14,23l16422,1992r,-100xm16422,1778r-543,l15875,1803r-2,25l15873,1853r3,25l16422,1878r,-100xm16449,1433r-378,l16012,1534r379,l16449,1433xm17064,1042r-11,-10l17043,1023r-12,-9l17020,1006r-179,l16830,999r-6,-3l16616,996r-28,-13l16559,973r-31,-6l16496,965r-4,l16430,973r-58,23l16322,1031r-41,44l16707,1075r-3,-5l16696,1061r208,l16899,1054r-7,-6l16886,1042r178,xm17141,1154r-21,-35l16942,1119r-7,-12l16727,1107r-11,-18l16272,1089r-59,101l16775,1190r-8,-15l16975,1175r-12,-21l17141,1154xm17209,1269r-21,-35l17010,1234r-8,-13l16793,1221r-10,-17l16205,1204r-59,101l16842,1305r-8,-15l17042,1290r-12,-21l17209,1269xm17277,1385r-20,-36l17077,1349r-8,-14l16860,1335r-9,-17l16138,1318r-59,101l16457,1419r37,-64l16532,1419r377,l16900,1404r209,l17098,1385r179,xm17346,1500r-21,-35l17144,1465r-8,-15l16927,1450r-9,-17l16540,1433r58,101l16976,1534r-9,-16l17176,1518r-11,-18l17346,1500xm17404,1617r-21,-35l17213,1582r-11,-18l16994,1564r-9,-16l16606,1548r59,101l17044,1649r-10,-16l17243,1633r-10,-16l17404,1617xm17406,2039r-173,l17244,2029r6,-5l17252,2021r-209,l17052,2011r5,-5l16567,2006r,92l16881,2098r7,l16902,2096r13,-2l16927,2090r209,l17147,2087r10,-4l17168,2079r10,-5l17365,2074r10,-7l17384,2060r10,-9l17404,2042r2,-3xm17473,1729r-20,-35l17279,1694r-10,-16l17061,1678r-9,-16l16673,1662r58,101l17106,1763r-3,-11l17101,1747r208,l17299,1729r174,xm17482,1925r-172,l17313,1913r2,-6l17106,1907r3,-10l17110,1892r-543,l16567,1992r500,l17071,1987r7,-11l17286,1976r6,-11l17295,1960r175,l17475,1948r4,-11l17482,1925xm17498,1833r-1,l17497,1823r-1,l17496,1811r-174,l17322,1799r-1,l17321,1793r-210,l17111,1783r-1,l17110,1779r-543,l16567,1783r,10l16567,1799r,12l16567,1823r,10l16567,1845r,6l16567,1861r,12l16567,1879r546,l17113,1873r1,l17114,1861r209,l17323,1851r1,l17324,1845r174,l17498,1833xm22402,984r-518,l21841,990r-24,4l21801,1000r-16,9l21760,1029r-32,33l21700,1106r-16,51l21684,1832r-18,-76l21649,1680r-11,-50l21632,1605r-15,-73l21600,1453r-16,-77l21569,1300r-16,-77l21537,1147r-16,-76l21492,1026r-40,-33l21403,974r-53,-5l21305,973r-42,17l21229,1017r-26,38l21173,1134r-26,80l21096,1374r-26,79l21041,1532r-29,-86l20989,1370r-6,-22l20954,1249r-27,-92l20909,1097r-10,-31l20885,1041r-14,-18l20858,1011r-11,-9l20828,991r-32,-12l20754,970r-48,-1l20634,988r-52,37l20546,1077r-23,60l20509,1201r-9,64l20493,1323r-8,47l20459,1303r-4,-9l20415,1223r-51,-66l20304,1098r-70,-48l20189,1028r,512l20177,1615r-34,65l20092,1732r-65,33l19952,1778r-14,-3l19877,1765r-65,-33l19761,1680r-34,-65l19715,1540r12,-74l19761,1400r51,-51l19877,1315r75,-12l20027,1315r65,34l20143,1400r34,66l20189,1540r,-512l20166,1017r-76,-22l20011,982r-81,-2l19849,988r-76,19l19702,1036r-67,38l19576,1119r-50,52l19484,1229r-34,63l19422,1359r-21,70l19386,1501r-10,73l19371,1648r-38,56l19281,1743r-61,24l19158,1775r-69,-16l19027,1728r-42,-38l18976,1681r-34,-62l18932,1571r-1,-49l18937,1486r2,-13l18956,1430r32,-42l19027,1353r44,-27l19118,1309r51,-2l19219,1315r49,14l19311,1344r24,-37l19483,1080r-10,-9l19410,1034r-68,-29l19270,985r-75,-10l19119,976r-77,14l18973,1010r-67,31l18843,1081r-58,48l18733,1183r-44,60l18653,1308r-27,68l18617,1408r-10,36l18600,1474r-4,12l18578,1417r-26,-95l18522,1226r-30,-63l18447,1095r-32,-40l18375,1023r-49,-24l18298,993r,697l18139,1690r81,-273l18298,1690r,-697l18265,985r-79,1l18112,1004r-65,36l17992,1096r-117,288l17763,1710r-83,267l17647,2088r361,l18058,1953r325,l18443,2090r351,l18783,2046r-14,-43l18755,1960r-1,-7l18748,1918r61,54l18874,2018r69,36l19017,2080r72,13l19161,2097r72,-4l19303,2081r68,-22l19435,2028r60,-41l19549,1937r65,53l19684,2032r72,33l19833,2090r82,9l19996,2097r79,-12l20150,2063r72,-32l20289,1989r62,-51l20352,1937r18,-19l20408,1877r-10,73l20389,2018r-6,50l20380,2088r331,l20735,1956r12,-79l20758,1806r4,-28l20775,1680r7,-47l20804,1714r20,83l20845,1880r27,79l20909,2034r27,26l20967,2077r33,10l21035,2094r50,-3l21126,2076r31,-21l21178,2032r48,-101l21268,1797r29,-117l21307,1633r1,-3l21404,2088r332,l21715,1998r26,37l21776,2063r38,18l21851,2088r548,l22399,1998r,-166l22399,1765r-358,l22041,1686r223,l22264,1400r-223,l22041,1323r361,1l22402,1323r,-33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6B14F9D" w14:textId="77777777" w:rsidR="006B1B5C" w:rsidRDefault="006B1B5C">
      <w:pPr>
        <w:pStyle w:val="BodyText"/>
        <w:rPr>
          <w:rFonts w:ascii="Times New Roman"/>
          <w:sz w:val="20"/>
        </w:rPr>
      </w:pPr>
    </w:p>
    <w:p w14:paraId="7B47F779" w14:textId="77777777" w:rsidR="006B1B5C" w:rsidRDefault="006B1B5C">
      <w:pPr>
        <w:pStyle w:val="BodyText"/>
        <w:rPr>
          <w:rFonts w:ascii="Times New Roman"/>
          <w:sz w:val="20"/>
        </w:rPr>
      </w:pPr>
    </w:p>
    <w:p w14:paraId="12EDDB10" w14:textId="77777777" w:rsidR="006B1B5C" w:rsidRDefault="006B1B5C">
      <w:pPr>
        <w:pStyle w:val="BodyText"/>
        <w:rPr>
          <w:rFonts w:ascii="Times New Roman"/>
          <w:sz w:val="20"/>
        </w:rPr>
      </w:pPr>
    </w:p>
    <w:p w14:paraId="49F9C343" w14:textId="77777777" w:rsidR="006B1B5C" w:rsidRDefault="006B1B5C">
      <w:pPr>
        <w:pStyle w:val="BodyText"/>
        <w:rPr>
          <w:rFonts w:ascii="Times New Roman"/>
          <w:sz w:val="20"/>
        </w:rPr>
      </w:pPr>
    </w:p>
    <w:p w14:paraId="0DC4C200" w14:textId="77777777" w:rsidR="006B1B5C" w:rsidRDefault="006B1B5C">
      <w:pPr>
        <w:pStyle w:val="BodyText"/>
        <w:rPr>
          <w:rFonts w:ascii="Times New Roman"/>
          <w:sz w:val="20"/>
        </w:rPr>
      </w:pPr>
    </w:p>
    <w:p w14:paraId="5053399D" w14:textId="77777777" w:rsidR="006B1B5C" w:rsidRDefault="006B1B5C">
      <w:pPr>
        <w:pStyle w:val="BodyText"/>
        <w:rPr>
          <w:rFonts w:ascii="Times New Roman"/>
          <w:sz w:val="20"/>
        </w:rPr>
      </w:pPr>
    </w:p>
    <w:p w14:paraId="23D61E0B" w14:textId="77777777" w:rsidR="006B1B5C" w:rsidRDefault="006B1B5C">
      <w:pPr>
        <w:pStyle w:val="BodyText"/>
        <w:rPr>
          <w:rFonts w:ascii="Times New Roman"/>
          <w:sz w:val="20"/>
        </w:rPr>
      </w:pPr>
    </w:p>
    <w:p w14:paraId="684B55F3" w14:textId="77777777" w:rsidR="006B1B5C" w:rsidRDefault="006B1B5C">
      <w:pPr>
        <w:pStyle w:val="BodyText"/>
        <w:rPr>
          <w:rFonts w:ascii="Times New Roman"/>
          <w:sz w:val="20"/>
        </w:rPr>
      </w:pPr>
    </w:p>
    <w:p w14:paraId="2D2D2FD5" w14:textId="77777777" w:rsidR="006B1B5C" w:rsidRDefault="006B1B5C">
      <w:pPr>
        <w:pStyle w:val="BodyText"/>
        <w:rPr>
          <w:rFonts w:ascii="Times New Roman"/>
          <w:sz w:val="20"/>
        </w:rPr>
      </w:pPr>
    </w:p>
    <w:p w14:paraId="3990CF14" w14:textId="77777777" w:rsidR="006B1B5C" w:rsidRDefault="006B1B5C">
      <w:pPr>
        <w:pStyle w:val="BodyText"/>
        <w:rPr>
          <w:rFonts w:ascii="Times New Roman"/>
          <w:sz w:val="20"/>
        </w:rPr>
      </w:pPr>
    </w:p>
    <w:p w14:paraId="0364FDCC" w14:textId="77777777" w:rsidR="006B1B5C" w:rsidRDefault="006B1B5C">
      <w:pPr>
        <w:pStyle w:val="BodyText"/>
        <w:rPr>
          <w:rFonts w:ascii="Times New Roman"/>
          <w:sz w:val="20"/>
        </w:rPr>
      </w:pPr>
    </w:p>
    <w:p w14:paraId="5469322E" w14:textId="77777777" w:rsidR="006B1B5C" w:rsidRDefault="006B1B5C">
      <w:pPr>
        <w:pStyle w:val="BodyText"/>
        <w:rPr>
          <w:rFonts w:ascii="Times New Roman"/>
          <w:sz w:val="20"/>
        </w:rPr>
      </w:pPr>
    </w:p>
    <w:p w14:paraId="62B6FBF4" w14:textId="77777777" w:rsidR="006B1B5C" w:rsidRDefault="006B1B5C">
      <w:pPr>
        <w:pStyle w:val="BodyText"/>
        <w:rPr>
          <w:rFonts w:ascii="Times New Roman"/>
          <w:sz w:val="20"/>
        </w:rPr>
      </w:pPr>
    </w:p>
    <w:p w14:paraId="20ECB967" w14:textId="77777777" w:rsidR="006B1B5C" w:rsidRDefault="006B1B5C">
      <w:pPr>
        <w:pStyle w:val="BodyText"/>
        <w:rPr>
          <w:rFonts w:ascii="Times New Roman"/>
          <w:sz w:val="20"/>
        </w:rPr>
      </w:pPr>
    </w:p>
    <w:p w14:paraId="34915E43" w14:textId="77777777" w:rsidR="006B1B5C" w:rsidRDefault="006B1B5C">
      <w:pPr>
        <w:pStyle w:val="BodyText"/>
        <w:rPr>
          <w:rFonts w:ascii="Times New Roman"/>
          <w:sz w:val="20"/>
        </w:rPr>
      </w:pPr>
    </w:p>
    <w:p w14:paraId="47DA12DF" w14:textId="77777777" w:rsidR="006B1B5C" w:rsidRDefault="006B1B5C">
      <w:pPr>
        <w:pStyle w:val="BodyText"/>
        <w:rPr>
          <w:rFonts w:ascii="Times New Roman"/>
          <w:sz w:val="20"/>
        </w:rPr>
      </w:pPr>
    </w:p>
    <w:p w14:paraId="1412C962" w14:textId="77777777" w:rsidR="006B1B5C" w:rsidRDefault="006B1B5C">
      <w:pPr>
        <w:pStyle w:val="BodyText"/>
        <w:rPr>
          <w:rFonts w:ascii="Times New Roman"/>
          <w:sz w:val="20"/>
        </w:rPr>
      </w:pPr>
    </w:p>
    <w:p w14:paraId="2FC47C4F" w14:textId="77777777" w:rsidR="006B1B5C" w:rsidRDefault="006B1B5C">
      <w:pPr>
        <w:pStyle w:val="BodyText"/>
        <w:rPr>
          <w:rFonts w:ascii="Times New Roman"/>
          <w:sz w:val="20"/>
        </w:rPr>
      </w:pPr>
    </w:p>
    <w:p w14:paraId="1FE1B606" w14:textId="77777777" w:rsidR="006B1B5C" w:rsidRDefault="006B1B5C">
      <w:pPr>
        <w:pStyle w:val="BodyText"/>
        <w:rPr>
          <w:rFonts w:ascii="Times New Roman"/>
          <w:sz w:val="20"/>
        </w:rPr>
      </w:pPr>
    </w:p>
    <w:p w14:paraId="3110B70F" w14:textId="77777777" w:rsidR="006B1B5C" w:rsidRDefault="006B1B5C">
      <w:pPr>
        <w:pStyle w:val="BodyText"/>
        <w:rPr>
          <w:rFonts w:ascii="Times New Roman"/>
          <w:sz w:val="20"/>
        </w:rPr>
      </w:pPr>
    </w:p>
    <w:p w14:paraId="694B7ABC" w14:textId="77777777" w:rsidR="006B1B5C" w:rsidRDefault="006B1B5C">
      <w:pPr>
        <w:pStyle w:val="BodyText"/>
        <w:rPr>
          <w:rFonts w:ascii="Times New Roman"/>
          <w:sz w:val="20"/>
        </w:rPr>
      </w:pPr>
    </w:p>
    <w:p w14:paraId="0FB078A8" w14:textId="77777777" w:rsidR="006B1B5C" w:rsidRDefault="006B1B5C">
      <w:pPr>
        <w:pStyle w:val="BodyText"/>
        <w:rPr>
          <w:rFonts w:ascii="Times New Roman"/>
          <w:sz w:val="20"/>
        </w:rPr>
      </w:pPr>
    </w:p>
    <w:p w14:paraId="00119043" w14:textId="77777777" w:rsidR="006B1B5C" w:rsidRDefault="006B1B5C">
      <w:pPr>
        <w:pStyle w:val="BodyText"/>
        <w:rPr>
          <w:rFonts w:ascii="Times New Roman"/>
          <w:sz w:val="20"/>
        </w:rPr>
      </w:pPr>
    </w:p>
    <w:p w14:paraId="3CD81BE7" w14:textId="77777777" w:rsidR="006B1B5C" w:rsidRDefault="006B1B5C">
      <w:pPr>
        <w:pStyle w:val="BodyText"/>
        <w:rPr>
          <w:rFonts w:ascii="Times New Roman"/>
          <w:sz w:val="20"/>
        </w:rPr>
      </w:pPr>
    </w:p>
    <w:p w14:paraId="49B34449" w14:textId="77777777" w:rsidR="006B1B5C" w:rsidRDefault="006B1B5C">
      <w:pPr>
        <w:pStyle w:val="BodyText"/>
        <w:rPr>
          <w:rFonts w:ascii="Times New Roman"/>
          <w:sz w:val="20"/>
        </w:rPr>
      </w:pPr>
    </w:p>
    <w:p w14:paraId="7D4F840D" w14:textId="77777777" w:rsidR="006B1B5C" w:rsidRDefault="006B1B5C">
      <w:pPr>
        <w:pStyle w:val="BodyText"/>
        <w:rPr>
          <w:rFonts w:ascii="Times New Roman"/>
          <w:sz w:val="20"/>
        </w:rPr>
      </w:pPr>
    </w:p>
    <w:p w14:paraId="6E89D743" w14:textId="77777777" w:rsidR="006B1B5C" w:rsidRDefault="006B1B5C">
      <w:pPr>
        <w:pStyle w:val="BodyText"/>
        <w:rPr>
          <w:rFonts w:ascii="Times New Roman"/>
          <w:sz w:val="20"/>
        </w:rPr>
      </w:pPr>
    </w:p>
    <w:p w14:paraId="39141EF3" w14:textId="566E7B34" w:rsidR="006B1B5C" w:rsidRDefault="00643C61">
      <w:pPr>
        <w:pStyle w:val="Title"/>
        <w:spacing w:line="230" w:lineRule="auto"/>
      </w:pPr>
      <w:r>
        <w:rPr>
          <w:color w:val="0077C0"/>
        </w:rPr>
        <w:t xml:space="preserve">ACOME Test </w:t>
      </w:r>
      <w:r w:rsidR="00C215C9">
        <w:rPr>
          <w:color w:val="0077C0"/>
        </w:rPr>
        <w:t xml:space="preserve">and </w:t>
      </w:r>
      <w:r w:rsidR="00C215C9">
        <w:rPr>
          <w:color w:val="0077C0"/>
        </w:rPr>
        <w:t xml:space="preserve">Qualification </w:t>
      </w:r>
      <w:r>
        <w:rPr>
          <w:color w:val="0077C0"/>
        </w:rPr>
        <w:t>Laboratory Impartiality Charter</w:t>
      </w:r>
    </w:p>
    <w:p w14:paraId="53F4229F" w14:textId="77777777" w:rsidR="006B1B5C" w:rsidRDefault="00643C61">
      <w:pPr>
        <w:pStyle w:val="BodyText"/>
        <w:spacing w:before="845"/>
        <w:ind w:left="107"/>
      </w:pPr>
      <w:r>
        <w:rPr>
          <w:color w:val="231F20"/>
        </w:rPr>
        <w:t>The members of the Test Laboratory and Qualifications team are committed to:</w:t>
      </w:r>
    </w:p>
    <w:p w14:paraId="57E11F80" w14:textId="77777777" w:rsidR="006B1B5C" w:rsidRDefault="006B1B5C">
      <w:pPr>
        <w:pStyle w:val="BodyText"/>
        <w:spacing w:before="5"/>
        <w:rPr>
          <w:sz w:val="55"/>
        </w:rPr>
      </w:pPr>
    </w:p>
    <w:p w14:paraId="7282675C" w14:textId="77777777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</w:pPr>
      <w:r>
        <w:rPr>
          <w:color w:val="231F20"/>
        </w:rPr>
        <w:t>Treating all requests equally:</w:t>
      </w:r>
    </w:p>
    <w:p w14:paraId="0FC429EA" w14:textId="38393F59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Us</w:t>
      </w:r>
      <w:r w:rsidR="00DB6B19">
        <w:rPr>
          <w:color w:val="231F20"/>
          <w:sz w:val="50"/>
        </w:rPr>
        <w:t>ing</w:t>
      </w:r>
      <w:r>
        <w:rPr>
          <w:color w:val="231F20"/>
          <w:sz w:val="50"/>
        </w:rPr>
        <w:t xml:space="preserve"> the same level of resources to provide identical processing of requests</w:t>
      </w:r>
    </w:p>
    <w:p w14:paraId="7388A24A" w14:textId="31A38824" w:rsidR="006B1B5C" w:rsidRDefault="00C215C9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Performing their duties</w:t>
      </w:r>
      <w:r w:rsidR="00643C61">
        <w:rPr>
          <w:color w:val="231F20"/>
          <w:sz w:val="50"/>
        </w:rPr>
        <w:t xml:space="preserve"> with the utmost neutrality</w:t>
      </w:r>
    </w:p>
    <w:p w14:paraId="5BC6D822" w14:textId="3E468683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spacing w:before="19"/>
        <w:ind w:hanging="358"/>
        <w:rPr>
          <w:sz w:val="50"/>
        </w:rPr>
      </w:pPr>
      <w:r>
        <w:rPr>
          <w:color w:val="231F20"/>
          <w:sz w:val="50"/>
        </w:rPr>
        <w:t>Basing analyses and arguments on observed and demonstrable facts to the extent possible</w:t>
      </w:r>
    </w:p>
    <w:p w14:paraId="765E75E0" w14:textId="77777777" w:rsidR="006B1B5C" w:rsidRDefault="006B1B5C">
      <w:pPr>
        <w:pStyle w:val="BodyText"/>
        <w:rPr>
          <w:sz w:val="55"/>
        </w:rPr>
      </w:pPr>
    </w:p>
    <w:p w14:paraId="20DD174D" w14:textId="77777777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  <w:spacing w:before="1"/>
      </w:pPr>
      <w:r>
        <w:rPr>
          <w:color w:val="231F20"/>
        </w:rPr>
        <w:t>Ensuring the confidentiality of:</w:t>
      </w:r>
    </w:p>
    <w:p w14:paraId="5CD3A170" w14:textId="32A32EE6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spacing w:before="19"/>
        <w:ind w:hanging="358"/>
        <w:rPr>
          <w:sz w:val="50"/>
        </w:rPr>
      </w:pPr>
      <w:r>
        <w:rPr>
          <w:color w:val="231F20"/>
          <w:sz w:val="50"/>
        </w:rPr>
        <w:t>Employees</w:t>
      </w:r>
    </w:p>
    <w:p w14:paraId="3DE535EE" w14:textId="394B0931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Internal and external subcontractors</w:t>
      </w:r>
    </w:p>
    <w:p w14:paraId="1D52C90C" w14:textId="0EAC7C43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Customers</w:t>
      </w:r>
    </w:p>
    <w:p w14:paraId="0BF7A62F" w14:textId="77777777" w:rsidR="006B1B5C" w:rsidRDefault="006B1B5C">
      <w:pPr>
        <w:pStyle w:val="BodyText"/>
        <w:spacing w:before="11"/>
        <w:rPr>
          <w:sz w:val="54"/>
        </w:rPr>
      </w:pPr>
    </w:p>
    <w:p w14:paraId="36AEFDDD" w14:textId="3C6343A0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  <w:spacing w:line="254" w:lineRule="auto"/>
        <w:ind w:right="112"/>
      </w:pPr>
      <w:r>
        <w:rPr>
          <w:color w:val="231F20"/>
        </w:rPr>
        <w:t xml:space="preserve">Not </w:t>
      </w:r>
      <w:r w:rsidR="00DB6B19">
        <w:rPr>
          <w:color w:val="231F20"/>
        </w:rPr>
        <w:t>disclosing</w:t>
      </w:r>
      <w:r>
        <w:rPr>
          <w:color w:val="231F20"/>
        </w:rPr>
        <w:t xml:space="preserve"> information about our customers' activities, tests, and products unless</w:t>
      </w:r>
      <w:r w:rsidR="00CA73C9">
        <w:rPr>
          <w:color w:val="231F20"/>
        </w:rPr>
        <w:t xml:space="preserve"> </w:t>
      </w:r>
      <w:r>
        <w:rPr>
          <w:color w:val="231F20"/>
        </w:rPr>
        <w:t>written consent</w:t>
      </w:r>
      <w:r w:rsidR="00CA73C9">
        <w:rPr>
          <w:color w:val="231F20"/>
        </w:rPr>
        <w:t xml:space="preserve"> </w:t>
      </w:r>
      <w:r>
        <w:rPr>
          <w:color w:val="231F20"/>
        </w:rPr>
        <w:t xml:space="preserve">has </w:t>
      </w:r>
      <w:r w:rsidR="00DB6B19">
        <w:rPr>
          <w:color w:val="231F20"/>
        </w:rPr>
        <w:t xml:space="preserve">first </w:t>
      </w:r>
      <w:r>
        <w:rPr>
          <w:color w:val="231F20"/>
        </w:rPr>
        <w:t>been obtained</w:t>
      </w:r>
      <w:r w:rsidR="00CA73C9">
        <w:rPr>
          <w:color w:val="231F20"/>
        </w:rPr>
        <w:t>.</w:t>
      </w:r>
    </w:p>
    <w:p w14:paraId="724DE83D" w14:textId="77777777" w:rsidR="006B1B5C" w:rsidRDefault="006B1B5C">
      <w:pPr>
        <w:pStyle w:val="BodyText"/>
        <w:spacing w:before="8"/>
        <w:rPr>
          <w:rFonts w:ascii="Trebuchet MS"/>
          <w:b/>
          <w:sz w:val="52"/>
        </w:rPr>
      </w:pPr>
    </w:p>
    <w:p w14:paraId="31D36E03" w14:textId="5F8937F3" w:rsidR="006B1B5C" w:rsidRDefault="00643C61">
      <w:pPr>
        <w:pStyle w:val="ListParagraph"/>
        <w:numPr>
          <w:ilvl w:val="0"/>
          <w:numId w:val="1"/>
        </w:numPr>
        <w:tabs>
          <w:tab w:val="left" w:pos="640"/>
        </w:tabs>
        <w:spacing w:before="0" w:line="254" w:lineRule="auto"/>
        <w:ind w:right="125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231F20"/>
          <w:sz w:val="50"/>
        </w:rPr>
        <w:t>Maintaining the compensation policy in place</w:t>
      </w:r>
      <w:r w:rsidR="00DB6B19">
        <w:rPr>
          <w:rFonts w:ascii="Trebuchet MS" w:hAnsi="Trebuchet MS"/>
          <w:b/>
          <w:color w:val="231F20"/>
          <w:sz w:val="50"/>
        </w:rPr>
        <w:t>,</w:t>
      </w:r>
      <w:r>
        <w:rPr>
          <w:rFonts w:ascii="Trebuchet MS" w:hAnsi="Trebuchet MS"/>
          <w:b/>
          <w:color w:val="231F20"/>
          <w:sz w:val="50"/>
        </w:rPr>
        <w:t xml:space="preserve"> independent </w:t>
      </w:r>
      <w:r w:rsidR="00DB6B19">
        <w:rPr>
          <w:rFonts w:ascii="Trebuchet MS" w:hAnsi="Trebuchet MS"/>
          <w:b/>
          <w:color w:val="231F20"/>
          <w:sz w:val="50"/>
        </w:rPr>
        <w:t>of</w:t>
      </w:r>
      <w:r>
        <w:rPr>
          <w:rFonts w:ascii="Trebuchet MS" w:hAnsi="Trebuchet MS"/>
          <w:b/>
          <w:color w:val="231F20"/>
          <w:sz w:val="50"/>
        </w:rPr>
        <w:t xml:space="preserve"> the productivity and activity level of the laboratory.</w:t>
      </w:r>
    </w:p>
    <w:p w14:paraId="17303AB1" w14:textId="77777777" w:rsidR="006B1B5C" w:rsidRDefault="006B1B5C">
      <w:pPr>
        <w:pStyle w:val="BodyText"/>
        <w:spacing w:before="8"/>
        <w:rPr>
          <w:rFonts w:ascii="Trebuchet MS"/>
          <w:b/>
          <w:sz w:val="52"/>
        </w:rPr>
      </w:pPr>
    </w:p>
    <w:p w14:paraId="3048445C" w14:textId="77777777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</w:pPr>
      <w:r>
        <w:rPr>
          <w:color w:val="231F20"/>
        </w:rPr>
        <w:t>Refusing any inappropriate benefits from:</w:t>
      </w:r>
    </w:p>
    <w:p w14:paraId="5F734FC4" w14:textId="1FE3450A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Customers</w:t>
      </w:r>
    </w:p>
    <w:p w14:paraId="65C803F1" w14:textId="6CDC6047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Suppliers</w:t>
      </w:r>
    </w:p>
    <w:p w14:paraId="454C2A6A" w14:textId="2915276C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spacing w:before="19"/>
        <w:ind w:hanging="358"/>
        <w:rPr>
          <w:sz w:val="50"/>
        </w:rPr>
      </w:pPr>
      <w:r>
        <w:rPr>
          <w:color w:val="231F20"/>
          <w:sz w:val="50"/>
        </w:rPr>
        <w:t xml:space="preserve">Or </w:t>
      </w:r>
      <w:r w:rsidR="00DB6B19">
        <w:rPr>
          <w:color w:val="231F20"/>
          <w:sz w:val="50"/>
        </w:rPr>
        <w:t xml:space="preserve">from </w:t>
      </w:r>
      <w:r>
        <w:rPr>
          <w:color w:val="231F20"/>
          <w:sz w:val="50"/>
        </w:rPr>
        <w:t xml:space="preserve">any other </w:t>
      </w:r>
      <w:r w:rsidR="00DB6B19">
        <w:rPr>
          <w:color w:val="231F20"/>
          <w:sz w:val="50"/>
        </w:rPr>
        <w:t>source</w:t>
      </w:r>
    </w:p>
    <w:p w14:paraId="1603F3A3" w14:textId="77777777" w:rsidR="006B1B5C" w:rsidRDefault="006B1B5C">
      <w:pPr>
        <w:pStyle w:val="BodyText"/>
        <w:rPr>
          <w:sz w:val="55"/>
        </w:rPr>
      </w:pPr>
    </w:p>
    <w:p w14:paraId="30A66080" w14:textId="29C8121E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</w:pPr>
      <w:r>
        <w:rPr>
          <w:color w:val="231F20"/>
        </w:rPr>
        <w:t>Ensuring that there are no conflict</w:t>
      </w:r>
      <w:r w:rsidR="00DB6B19">
        <w:rPr>
          <w:color w:val="231F20"/>
        </w:rPr>
        <w:t>s</w:t>
      </w:r>
      <w:r>
        <w:rPr>
          <w:color w:val="231F20"/>
        </w:rPr>
        <w:t xml:space="preserve"> of interest:</w:t>
      </w:r>
    </w:p>
    <w:p w14:paraId="79D0CF62" w14:textId="7B6BDFF6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Within the laboratory team itself</w:t>
      </w:r>
    </w:p>
    <w:p w14:paraId="5AB0EE57" w14:textId="747BE31D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In relations with ACOME's internal customers</w:t>
      </w:r>
    </w:p>
    <w:p w14:paraId="50B476AA" w14:textId="4FC4CE63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In relations with ACOME's external customers</w:t>
      </w:r>
    </w:p>
    <w:p w14:paraId="363949A6" w14:textId="77777777" w:rsidR="006B1B5C" w:rsidRDefault="006B1B5C">
      <w:pPr>
        <w:pStyle w:val="BodyText"/>
        <w:spacing w:before="11"/>
        <w:rPr>
          <w:sz w:val="54"/>
        </w:rPr>
      </w:pPr>
    </w:p>
    <w:p w14:paraId="4ECB42BD" w14:textId="77777777" w:rsidR="006B1B5C" w:rsidRDefault="00643C61">
      <w:pPr>
        <w:pStyle w:val="Heading1"/>
        <w:numPr>
          <w:ilvl w:val="0"/>
          <w:numId w:val="1"/>
        </w:numPr>
        <w:tabs>
          <w:tab w:val="left" w:pos="640"/>
        </w:tabs>
      </w:pPr>
      <w:r>
        <w:rPr>
          <w:color w:val="231F20"/>
        </w:rPr>
        <w:t>Treating all reports of misconduct fairly by:</w:t>
      </w:r>
    </w:p>
    <w:p w14:paraId="66CC39E7" w14:textId="62E6258E" w:rsidR="006B1B5C" w:rsidRDefault="00984BD0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Informing</w:t>
      </w:r>
      <w:r w:rsidR="00643C61">
        <w:rPr>
          <w:color w:val="231F20"/>
          <w:sz w:val="50"/>
        </w:rPr>
        <w:t xml:space="preserve"> the laboratory manager</w:t>
      </w:r>
    </w:p>
    <w:p w14:paraId="43D64CAD" w14:textId="08FC6193" w:rsidR="006B1B5C" w:rsidRDefault="00643C61">
      <w:pPr>
        <w:pStyle w:val="ListParagraph"/>
        <w:numPr>
          <w:ilvl w:val="1"/>
          <w:numId w:val="1"/>
        </w:numPr>
        <w:tabs>
          <w:tab w:val="left" w:pos="1058"/>
        </w:tabs>
        <w:ind w:hanging="358"/>
        <w:rPr>
          <w:sz w:val="50"/>
        </w:rPr>
      </w:pPr>
      <w:r>
        <w:rPr>
          <w:color w:val="231F20"/>
          <w:sz w:val="50"/>
        </w:rPr>
        <w:t>Reporting cases during the quarterly management review</w:t>
      </w:r>
    </w:p>
    <w:p w14:paraId="0F48690F" w14:textId="123B6E45" w:rsidR="006B1B5C" w:rsidRDefault="00984BD0">
      <w:pPr>
        <w:pStyle w:val="ListParagraph"/>
        <w:numPr>
          <w:ilvl w:val="1"/>
          <w:numId w:val="1"/>
        </w:numPr>
        <w:tabs>
          <w:tab w:val="left" w:pos="1058"/>
        </w:tabs>
        <w:spacing w:before="19"/>
        <w:ind w:hanging="358"/>
        <w:rPr>
          <w:sz w:val="50"/>
        </w:rPr>
      </w:pPr>
      <w:r>
        <w:rPr>
          <w:color w:val="231F20"/>
          <w:sz w:val="50"/>
        </w:rPr>
        <w:t>Notifying</w:t>
      </w:r>
      <w:r w:rsidR="00643C61">
        <w:rPr>
          <w:color w:val="231F20"/>
          <w:sz w:val="50"/>
        </w:rPr>
        <w:t xml:space="preserve"> situations to all laboratory actors</w:t>
      </w:r>
    </w:p>
    <w:sectPr w:rsidR="006B1B5C">
      <w:type w:val="continuous"/>
      <w:pgSz w:w="23750" w:h="31660"/>
      <w:pgMar w:top="0" w:right="10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5698C"/>
    <w:multiLevelType w:val="hybridMultilevel"/>
    <w:tmpl w:val="C6869D78"/>
    <w:lvl w:ilvl="0" w:tplc="A940921A">
      <w:start w:val="1"/>
      <w:numFmt w:val="decimal"/>
      <w:lvlText w:val="%1."/>
      <w:lvlJc w:val="left"/>
      <w:pPr>
        <w:ind w:left="640" w:hanging="533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92"/>
        <w:sz w:val="50"/>
        <w:szCs w:val="50"/>
        <w:lang w:val="fr-FR" w:eastAsia="en-US" w:bidi="ar-SA"/>
      </w:rPr>
    </w:lvl>
    <w:lvl w:ilvl="1" w:tplc="874AAD8E">
      <w:numFmt w:val="bullet"/>
      <w:lvlText w:val="•"/>
      <w:lvlJc w:val="left"/>
      <w:pPr>
        <w:ind w:left="1057" w:hanging="357"/>
      </w:pPr>
      <w:rPr>
        <w:rFonts w:ascii="Trebuchet MS" w:eastAsia="Trebuchet MS" w:hAnsi="Trebuchet MS" w:cs="Trebuchet MS" w:hint="default"/>
        <w:b/>
        <w:bCs/>
        <w:color w:val="0077C0"/>
        <w:w w:val="70"/>
        <w:sz w:val="50"/>
        <w:szCs w:val="50"/>
        <w:lang w:val="fr-FR" w:eastAsia="en-US" w:bidi="ar-SA"/>
      </w:rPr>
    </w:lvl>
    <w:lvl w:ilvl="2" w:tplc="9A9CFC78">
      <w:numFmt w:val="bullet"/>
      <w:lvlText w:val="•"/>
      <w:lvlJc w:val="left"/>
      <w:pPr>
        <w:ind w:left="3342" w:hanging="357"/>
      </w:pPr>
      <w:rPr>
        <w:rFonts w:hint="default"/>
        <w:lang w:val="fr-FR" w:eastAsia="en-US" w:bidi="ar-SA"/>
      </w:rPr>
    </w:lvl>
    <w:lvl w:ilvl="3" w:tplc="10B2D7AA">
      <w:numFmt w:val="bullet"/>
      <w:lvlText w:val="•"/>
      <w:lvlJc w:val="left"/>
      <w:pPr>
        <w:ind w:left="5625" w:hanging="357"/>
      </w:pPr>
      <w:rPr>
        <w:rFonts w:hint="default"/>
        <w:lang w:val="fr-FR" w:eastAsia="en-US" w:bidi="ar-SA"/>
      </w:rPr>
    </w:lvl>
    <w:lvl w:ilvl="4" w:tplc="38E059F0">
      <w:numFmt w:val="bullet"/>
      <w:lvlText w:val="•"/>
      <w:lvlJc w:val="left"/>
      <w:pPr>
        <w:ind w:left="7908" w:hanging="357"/>
      </w:pPr>
      <w:rPr>
        <w:rFonts w:hint="default"/>
        <w:lang w:val="fr-FR" w:eastAsia="en-US" w:bidi="ar-SA"/>
      </w:rPr>
    </w:lvl>
    <w:lvl w:ilvl="5" w:tplc="CBB8EE96">
      <w:numFmt w:val="bullet"/>
      <w:lvlText w:val="•"/>
      <w:lvlJc w:val="left"/>
      <w:pPr>
        <w:ind w:left="10191" w:hanging="357"/>
      </w:pPr>
      <w:rPr>
        <w:rFonts w:hint="default"/>
        <w:lang w:val="fr-FR" w:eastAsia="en-US" w:bidi="ar-SA"/>
      </w:rPr>
    </w:lvl>
    <w:lvl w:ilvl="6" w:tplc="8A3CA238">
      <w:numFmt w:val="bullet"/>
      <w:lvlText w:val="•"/>
      <w:lvlJc w:val="left"/>
      <w:pPr>
        <w:ind w:left="12473" w:hanging="357"/>
      </w:pPr>
      <w:rPr>
        <w:rFonts w:hint="default"/>
        <w:lang w:val="fr-FR" w:eastAsia="en-US" w:bidi="ar-SA"/>
      </w:rPr>
    </w:lvl>
    <w:lvl w:ilvl="7" w:tplc="BB88E794">
      <w:numFmt w:val="bullet"/>
      <w:lvlText w:val="•"/>
      <w:lvlJc w:val="left"/>
      <w:pPr>
        <w:ind w:left="14756" w:hanging="357"/>
      </w:pPr>
      <w:rPr>
        <w:rFonts w:hint="default"/>
        <w:lang w:val="fr-FR" w:eastAsia="en-US" w:bidi="ar-SA"/>
      </w:rPr>
    </w:lvl>
    <w:lvl w:ilvl="8" w:tplc="D3062E88">
      <w:numFmt w:val="bullet"/>
      <w:lvlText w:val="•"/>
      <w:lvlJc w:val="left"/>
      <w:pPr>
        <w:ind w:left="17039" w:hanging="357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B5C"/>
    <w:rsid w:val="00142CF3"/>
    <w:rsid w:val="00643C61"/>
    <w:rsid w:val="006B1B5C"/>
    <w:rsid w:val="00984BD0"/>
    <w:rsid w:val="00C215C9"/>
    <w:rsid w:val="00CA73C9"/>
    <w:rsid w:val="00DB6B19"/>
    <w:rsid w:val="00FF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F174A45"/>
  <w15:docId w15:val="{DC7749D4-EEB2-4A36-BA20-D818FECA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640" w:hanging="533"/>
      <w:outlineLvl w:val="0"/>
    </w:pPr>
    <w:rPr>
      <w:rFonts w:ascii="Trebuchet MS" w:eastAsia="Trebuchet MS" w:hAnsi="Trebuchet MS" w:cs="Trebuchet MS"/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0"/>
      <w:szCs w:val="50"/>
    </w:rPr>
  </w:style>
  <w:style w:type="paragraph" w:styleId="Title">
    <w:name w:val="Title"/>
    <w:basedOn w:val="Normal"/>
    <w:uiPriority w:val="10"/>
    <w:qFormat/>
    <w:pPr>
      <w:spacing w:before="262"/>
      <w:ind w:left="107"/>
    </w:pPr>
    <w:rPr>
      <w:rFonts w:ascii="Trebuchet MS" w:eastAsia="Trebuchet MS" w:hAnsi="Trebuchet MS" w:cs="Trebuchet MS"/>
      <w:b/>
      <w:bCs/>
      <w:sz w:val="125"/>
      <w:szCs w:val="125"/>
    </w:rPr>
  </w:style>
  <w:style w:type="paragraph" w:styleId="ListParagraph">
    <w:name w:val="List Paragraph"/>
    <w:basedOn w:val="Normal"/>
    <w:uiPriority w:val="1"/>
    <w:qFormat/>
    <w:pPr>
      <w:spacing w:before="20"/>
      <w:ind w:left="1057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Philip Taylor</cp:lastModifiedBy>
  <cp:revision>5</cp:revision>
  <dcterms:created xsi:type="dcterms:W3CDTF">2020-12-15T11:15:00Z</dcterms:created>
  <dcterms:modified xsi:type="dcterms:W3CDTF">2020-12-15T13:46:00Z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2020-12-13T00:00:00Z</vt:filetime>
  </property>
</Properties>
</file>